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11 vom 6. April 2009</w:t>
      </w:r>
    </w:p>
    <w:p>
      <w:r>
        <w:t>GR Gerichte, 2009-04-06, DE</w:t>
      </w:r>
    </w:p>
    <w:p>
      <w:r>
        <w:rPr>
          <w:b/>
        </w:rPr>
        <w:t xml:space="preserve">Quelle: </w:t>
      </w:r>
      <w:r>
        <w:t>https://mcp.opencaselaw.ch/entscheid/gr_gerichte_ZK2 2009 11</w:t>
      </w:r>
    </w:p>
    <w:p>
      <w:r>
        <w:t>FR: GR_GERICHTE ZK2 2009 11 du 6 avril 2009</w:t>
      </w:r>
    </w:p>
    <w:p>
      <w:r>
        <w:t>IT: GR_GERICHTE ZK2 2009 11 del 6 aprile 2009</w:t>
      </w:r>
    </w:p>
    <w:p>
      <w:pPr>
        <w:pStyle w:val="Heading2"/>
      </w:pPr>
      <w:r>
        <w:t>Regeste</w:t>
      </w:r>
    </w:p>
    <w:p>
      <w:r>
        <w:t>Forderung (örtliche Zuständigkeit) | Beschwerde Prozessrecht ZPO/GR 232/1-8 und Prozessbeschwerde ZPO/GR 237</w:t>
      </w:r>
    </w:p>
    <w:p>
      <w:pPr>
        <w:pStyle w:val="Heading2"/>
      </w:pPr>
      <w:r>
        <w:t>Erwägungen</w:t>
      </w:r>
    </w:p>
    <w:p>
      <w:r>
        <w:rPr>
          <w:b/>
        </w:rPr>
        <w:t>E. 2</w:t>
      </w:r>
    </w:p>
    <w:p>
      <w:r>
        <w:t>Die Klägerin ist Inhaberin und Betreiberin der Internet basierenden online Stellenmärkte www.wag1.com und www.wag2.com im Bereich Gastronomie und Hotellerie für die Schweiz und ihre Nachbarländer. Zwecks Marktteilnahme können sich auf diesen Plattformen Betriebe (Stellenanbieter) kostenpflichtig und Bewerber (Stellensuchende) kostenfrei registrieren lassen. Um Dienstleistungen effektiv nut- zen zu können (Aufschaltung eigener Stellenanzeigen, Unternehmenswerbung, On- line-Zugriff auf die detaillierten Bewerbungsunterlagen Stellensuchender, automati- sierte Zustellung von Bewerbungen etc.), muss ein Betrieb registriert sein und ein Nutzungsabonnement für einen oder mehrere Monate gelöst haben. Dem einge- klagten Forderungsanspruch der WAG.GmbH soll eine solche kombinierte Abonne- mentsvereinbarung für die Webseiten www.wag1.com und www.wag2.com über drei Monate zugrunde liegen. Zur örtlichen Zuständigkeit des angerufenen Richters führte die Klägerin in der Prozesseingabe aus, diese ergäbe sich daraus, dass die Beklagte anlässlich der Registrierungsvorgangs auf der genannten Webseite die Allgemeinen Geschäftsbedingungen mit dem Gerichtsstand der Anbieterin (St.) an- erkannt habe.</w:t>
      </w:r>
    </w:p>
    <w:p>
      <w:r>
        <w:rPr>
          <w:b/>
        </w:rPr>
        <w:t>E. 3</w:t>
      </w:r>
    </w:p>
    <w:p>
      <w:r>
        <w:t>Die zur Beschwerdegutheissung führende Verletzung des rechtlichen Gehörs ist offensichtlich, womit ein Fall von Art. 12 Abs. 3 GOG vorliegt. Dem- gemäss kann die oder der zuständige Kammervorsitzende in einzelrichterlicher Kompetenz entscheiden. 4.a. Das Beschwerdeverfahren und sein Ausgang haben zwar ihren Grund in ei- nem prozessualen Fehler des Kreispräsidenten. Eine Belastung der Vorinstanz mit den Verfahrenskosten (vgl. dazu PKG 2004 Nr. 11, E. 7) erscheint hier dennoch wenig opportun, nachdem es sich die Beschwerdegegnerin – ungeachtet der offen- sichtlichen Begründetheit der Beschwerde – nicht nehmen liess, ausdrücklich die</w:t>
      </w:r>
    </w:p>
    <w:p>
      <w:r>
        <w:t>Seite 9 — 10 Abweisung der Beschwerde und Bestätigung der angefochtenen Entscheidung, un- ter Kosten- und Entschädigungsfolge zu Lasten der Beschwerdeführerin, zu bean- tragen. Die Beschwerdegegnerin hat das Verfahren durch gegenläufige Anträge zum Beschwerdeentscheid und weitschweifige, wenig erspriessliche Argumentatio- nen belastet. Sie ist insofern unterliegend und wird daher kostenpflichtig (Art. 122 Abs. 1 ZPO). Die Kosten des Beschwerdeverfahrens sind in Anwendung von Art. 5 lit. b und Art. 8 Abs. 1 Kostentarif auf Fr. 860.— festzusetzen (Gerichtsgebühr Fr. 700.—, Schreibgebühr Fr. 160.—). b. Die Beschwerdegegnerin wird ferner entschädigungspflichtig (Art. 122 Abs. 2 ZPO). Der Antrag des Rechtsvertreters der obsiegenden Beschwerdeführerin auf Verfahrensentschädigung ist unbeziffert geblieben, so dass die Rechtsmittelinstanz praxisgemäss den für eine sachgerechte Interessenwahrung notwendigen Aufwand schätzungsweise festlegt. Von Umfang der Rechtsschriften, den Akten, der rechtli- chen Problematik und der Bedeutung der Sache ausgehend, ist eine Prozessent- schädigung von 700 Franken angemessen.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